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DFA45" w14:textId="77777777" w:rsidR="00BC020E" w:rsidRPr="00BC020E" w:rsidRDefault="00BC020E" w:rsidP="00BC020E">
      <w:pPr>
        <w:spacing w:after="10" w:line="249" w:lineRule="auto"/>
        <w:ind w:left="345" w:hanging="360"/>
        <w:rPr>
          <w:color w:val="auto"/>
        </w:rPr>
      </w:pPr>
      <w:r w:rsidRPr="00BC020E">
        <w:rPr>
          <w:b/>
          <w:color w:val="auto"/>
        </w:rPr>
        <w:t>2.</w:t>
      </w:r>
      <w:r w:rsidRPr="00BC020E">
        <w:rPr>
          <w:rFonts w:ascii="Arial" w:eastAsia="Arial" w:hAnsi="Arial" w:cs="Arial"/>
          <w:b/>
          <w:color w:val="auto"/>
        </w:rPr>
        <w:t xml:space="preserve"> </w:t>
      </w:r>
      <w:r w:rsidRPr="00BC020E">
        <w:rPr>
          <w:b/>
          <w:color w:val="auto"/>
        </w:rPr>
        <w:t xml:space="preserve">Tagada automaatse tulekahjusignalisatsioonisüsteemi omaniku ülesannete täitmine, määrates automaatse tulekahjusignalisatsioonisüsteemi regulaarse hoolduse ja süsteemi päeviku pidamise eest vastutavad isikud. </w:t>
      </w:r>
    </w:p>
    <w:p w14:paraId="4E66D4AD" w14:textId="77777777" w:rsidR="00BC020E" w:rsidRPr="00BC020E" w:rsidRDefault="00BC020E" w:rsidP="00BC020E">
      <w:pPr>
        <w:ind w:left="-5"/>
        <w:rPr>
          <w:color w:val="auto"/>
        </w:rPr>
      </w:pPr>
      <w:r w:rsidRPr="00BC020E">
        <w:rPr>
          <w:b/>
          <w:color w:val="auto"/>
        </w:rPr>
        <w:t xml:space="preserve">Põhjendus: </w:t>
      </w:r>
      <w:r w:rsidRPr="00BC020E">
        <w:rPr>
          <w:color w:val="auto"/>
        </w:rPr>
        <w:t xml:space="preserve">Paikvaatlusel tuvastati, et hoone automaatse tulekahjusignalisatsioonisüsteemi omanik ei ole määranud vastutavaid isikuid, et oleks tagatud automaatse tulekahjusignalisatsioonisüsteemi regulaarne hooldus ning süsteemi päeviku nõuetekohane pidamine. </w:t>
      </w:r>
    </w:p>
    <w:p w14:paraId="59F9BFBF" w14:textId="77777777" w:rsidR="00BC020E" w:rsidRPr="00BC020E" w:rsidRDefault="00BC020E" w:rsidP="00BC020E">
      <w:pPr>
        <w:ind w:left="-5"/>
        <w:rPr>
          <w:color w:val="auto"/>
        </w:rPr>
      </w:pPr>
      <w:r w:rsidRPr="00BC020E">
        <w:rPr>
          <w:color w:val="auto"/>
        </w:rPr>
        <w:t xml:space="preserve">Siseministri määruse nr 1 “Nõuded tulekahjusignalisatsioonisüsteemile ja ehitised, kus tuleb automaatse tulekahjusignalisatsioonisüsteemi tulekahjuteade juhtida Häirekeskusesse“ § 25  kohaselt on automaatse tulekahjusignalisatsioonisüsteemi omaniku ülesandeks tagada süsteemi töökindluse säilimine, regulaarne hooldus ja päeviku nõuetekohane pidamine. Nende ülesannete täitmiseks tagab automaatse tulekahjusignalisatsioonisüsteemi omanik ühe või mitme füüsilise isiku määramise ning nende isikute nimede registreerimise päevikus. </w:t>
      </w:r>
    </w:p>
    <w:p w14:paraId="5D3DE67D" w14:textId="77777777" w:rsidR="00BC020E" w:rsidRPr="00BC020E" w:rsidRDefault="00BC020E" w:rsidP="00BC020E">
      <w:pPr>
        <w:ind w:left="-5"/>
        <w:rPr>
          <w:color w:val="auto"/>
        </w:rPr>
      </w:pPr>
      <w:r w:rsidRPr="00BC020E">
        <w:rPr>
          <w:b/>
          <w:color w:val="auto"/>
        </w:rPr>
        <w:t>Alus:</w:t>
      </w:r>
      <w:r w:rsidRPr="00BC020E">
        <w:rPr>
          <w:color w:val="auto"/>
        </w:rPr>
        <w:t xml:space="preserve"> Siseministri 7. jaanuari 2013. aasta määrus nr 1 “Nõuded tulekahjusignalisatsioonisüsteemile ja </w:t>
      </w:r>
      <w:bookmarkStart w:id="0" w:name="_GoBack"/>
      <w:bookmarkEnd w:id="0"/>
      <w:r w:rsidRPr="00BC020E">
        <w:rPr>
          <w:color w:val="auto"/>
        </w:rPr>
        <w:t xml:space="preserve">ehitised, kus tuleb automaatse tulekahjusignalisatsioonisüsteemi tulekahjuteade juhtida Häirekeskusesse“ § 25. </w:t>
      </w:r>
    </w:p>
    <w:p w14:paraId="2AC03D07" w14:textId="77777777" w:rsidR="00BC020E" w:rsidRPr="00BC020E" w:rsidRDefault="00BC020E" w:rsidP="00BC020E">
      <w:pPr>
        <w:pStyle w:val="Heading1"/>
        <w:ind w:left="-5"/>
        <w:rPr>
          <w:color w:val="auto"/>
        </w:rPr>
      </w:pPr>
      <w:r w:rsidRPr="00BC020E">
        <w:rPr>
          <w:color w:val="auto"/>
        </w:rPr>
        <w:t xml:space="preserve">Täitmise tähtaeg: 01.04.2019 </w:t>
      </w:r>
    </w:p>
    <w:p w14:paraId="2BF1F36F" w14:textId="77777777" w:rsidR="00BC020E" w:rsidRPr="00BC020E" w:rsidRDefault="00BC020E" w:rsidP="00BC020E">
      <w:pPr>
        <w:ind w:left="-5"/>
        <w:rPr>
          <w:color w:val="auto"/>
        </w:rPr>
      </w:pPr>
      <w:r w:rsidRPr="00BC020E">
        <w:rPr>
          <w:b/>
          <w:color w:val="auto"/>
        </w:rPr>
        <w:t xml:space="preserve">Sunniraha hoiatus: </w:t>
      </w:r>
      <w:r w:rsidRPr="00BC020E">
        <w:rPr>
          <w:color w:val="auto"/>
        </w:rPr>
        <w:t xml:space="preserve">juhul, kui käesolevat ettekirjutust ei täideta tähtajaks, rakendab haldusorgan tuleohutuse seaduse § 40 alusel adressaadi suhtes sunnivahendit – </w:t>
      </w:r>
      <w:r w:rsidRPr="00BC020E">
        <w:rPr>
          <w:b/>
          <w:color w:val="auto"/>
        </w:rPr>
        <w:t xml:space="preserve">sunniraha 500,00 (viissada) eurot. </w:t>
      </w:r>
    </w:p>
    <w:p w14:paraId="7BD21768" w14:textId="77777777" w:rsidR="00FC31E1" w:rsidRPr="00BC020E" w:rsidRDefault="00FC31E1">
      <w:pPr>
        <w:rPr>
          <w:color w:val="auto"/>
        </w:rPr>
      </w:pPr>
    </w:p>
    <w:sectPr w:rsidR="00FC31E1" w:rsidRPr="00BC020E" w:rsidSect="0090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1A"/>
    <w:rsid w:val="00900698"/>
    <w:rsid w:val="00BC020E"/>
    <w:rsid w:val="00D82B1A"/>
    <w:rsid w:val="00FC3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FB34F-BB76-413D-A7B0-7F5A138C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0E"/>
    <w:pPr>
      <w:spacing w:after="2" w:line="248" w:lineRule="auto"/>
      <w:ind w:left="10" w:hanging="10"/>
      <w:jc w:val="both"/>
    </w:pPr>
    <w:rPr>
      <w:rFonts w:ascii="Times New Roman" w:eastAsia="Times New Roman" w:hAnsi="Times New Roman" w:cs="Times New Roman"/>
      <w:color w:val="000000"/>
      <w:sz w:val="24"/>
      <w:lang w:eastAsia="et-EE"/>
    </w:rPr>
  </w:style>
  <w:style w:type="paragraph" w:styleId="Heading1">
    <w:name w:val="heading 1"/>
    <w:next w:val="Normal"/>
    <w:link w:val="Heading1Char"/>
    <w:uiPriority w:val="9"/>
    <w:qFormat/>
    <w:rsid w:val="00BC020E"/>
    <w:pPr>
      <w:keepNext/>
      <w:keepLines/>
      <w:spacing w:after="10" w:line="249" w:lineRule="auto"/>
      <w:ind w:left="10" w:hanging="10"/>
      <w:jc w:val="both"/>
      <w:outlineLvl w:val="0"/>
    </w:pPr>
    <w:rPr>
      <w:rFonts w:ascii="Times New Roman" w:eastAsia="Times New Roman" w:hAnsi="Times New Roman" w:cs="Times New Roman"/>
      <w:b/>
      <w:color w:val="000000"/>
      <w:sz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20E"/>
    <w:rPr>
      <w:rFonts w:ascii="Times New Roman" w:eastAsia="Times New Roman" w:hAnsi="Times New Roman" w:cs="Times New Roman"/>
      <w:b/>
      <w:color w:val="000000"/>
      <w:sz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1236</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Ednaševsky</dc:creator>
  <cp:keywords/>
  <dc:description/>
  <cp:lastModifiedBy>Roland Ednaševsky</cp:lastModifiedBy>
  <cp:revision>2</cp:revision>
  <dcterms:created xsi:type="dcterms:W3CDTF">2019-04-01T04:10:00Z</dcterms:created>
  <dcterms:modified xsi:type="dcterms:W3CDTF">2019-04-01T04:10:00Z</dcterms:modified>
</cp:coreProperties>
</file>